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40BC4931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proofErr w:type="spellStart"/>
      <w:r w:rsidR="00694581">
        <w:rPr>
          <w:rFonts w:ascii="Arial" w:hAnsi="Arial" w:cs="Arial"/>
          <w:sz w:val="28"/>
          <w:szCs w:val="28"/>
        </w:rPr>
        <w:t>Highland</w:t>
      </w:r>
      <w:proofErr w:type="spellEnd"/>
    </w:p>
    <w:p w14:paraId="1B88FB7F" w14:textId="3C5090B3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proofErr w:type="spellStart"/>
      <w:r w:rsidR="00694581">
        <w:rPr>
          <w:rFonts w:ascii="Arial" w:hAnsi="Arial" w:cs="Arial"/>
          <w:color w:val="231F20"/>
        </w:rPr>
        <w:t>Condor</w:t>
      </w:r>
      <w:proofErr w:type="spellEnd"/>
    </w:p>
    <w:p w14:paraId="7124EE48" w14:textId="77777777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0A42C5">
        <w:rPr>
          <w:rFonts w:ascii="Arial" w:hAnsi="Arial" w:cs="Arial"/>
        </w:rPr>
        <w:t>winylowy panel podłogowy</w:t>
      </w:r>
    </w:p>
    <w:p w14:paraId="30D6345F" w14:textId="686781DF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8F75BE" w:rsidRPr="008F75BE">
        <w:rPr>
          <w:rFonts w:ascii="Arial" w:hAnsi="Arial" w:cs="Arial"/>
        </w:rPr>
        <w:t>panele winylowe o wzorze drewna, przeznaczone do: biur, powierzchni handlowych oraz wszelkich obiektów komercyjnych i publicznych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670CA6D8" w14:textId="77777777" w:rsidR="009D6DFA" w:rsidRPr="00BC48A7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heterogeniczna PCV</w:t>
      </w:r>
    </w:p>
    <w:p w14:paraId="6B6992F8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9D6DFA" w:rsidRPr="00BC48A7">
        <w:rPr>
          <w:rFonts w:ascii="Arial" w:hAnsi="Arial" w:cs="Arial"/>
          <w:szCs w:val="20"/>
        </w:rPr>
        <w:t>yp wykładziny: winylowa płyta podłogowa</w:t>
      </w:r>
    </w:p>
    <w:p w14:paraId="4C382084" w14:textId="3CBFCA65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</w:t>
      </w:r>
      <w:r w:rsidR="00C77676">
        <w:rPr>
          <w:rFonts w:ascii="Arial" w:hAnsi="Arial" w:cs="Arial"/>
          <w:szCs w:val="20"/>
        </w:rPr>
        <w:t xml:space="preserve">czająca: PUR </w:t>
      </w:r>
    </w:p>
    <w:p w14:paraId="20443B80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444D17" w:rsidRPr="00BC48A7">
        <w:rPr>
          <w:rFonts w:ascii="Arial" w:hAnsi="Arial" w:cs="Arial"/>
          <w:szCs w:val="20"/>
        </w:rPr>
        <w:t xml:space="preserve">zór: </w:t>
      </w:r>
      <w:r w:rsidR="00D878C7" w:rsidRPr="00BC48A7">
        <w:rPr>
          <w:rFonts w:ascii="Arial" w:hAnsi="Arial" w:cs="Arial"/>
          <w:szCs w:val="20"/>
        </w:rPr>
        <w:t>wzory drewna</w:t>
      </w:r>
    </w:p>
    <w:p w14:paraId="6E595571" w14:textId="5B540714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C77676">
        <w:rPr>
          <w:rFonts w:ascii="Arial" w:hAnsi="Arial" w:cs="Arial"/>
          <w:szCs w:val="20"/>
        </w:rPr>
        <w:t>lość wzorów: 9</w:t>
      </w:r>
    </w:p>
    <w:p w14:paraId="742FCB9B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z</w:t>
      </w:r>
      <w:r w:rsidR="009D6DFA" w:rsidRPr="00BC48A7">
        <w:rPr>
          <w:rFonts w:ascii="Arial" w:hAnsi="Arial" w:cs="Arial"/>
          <w:szCs w:val="20"/>
        </w:rPr>
        <w:t>astosowanie</w:t>
      </w:r>
      <w:r w:rsidR="006C2917" w:rsidRPr="00BC48A7">
        <w:rPr>
          <w:rFonts w:ascii="Arial" w:hAnsi="Arial" w:cs="Arial"/>
          <w:szCs w:val="20"/>
        </w:rPr>
        <w:t xml:space="preserve"> EN </w:t>
      </w:r>
      <w:r w:rsidR="002D3CF4" w:rsidRPr="00BC48A7">
        <w:rPr>
          <w:rFonts w:ascii="Arial" w:hAnsi="Arial" w:cs="Arial"/>
          <w:szCs w:val="20"/>
        </w:rPr>
        <w:t>685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retail</w:t>
      </w:r>
      <w:proofErr w:type="spellEnd"/>
      <w:r w:rsidR="009D6DFA" w:rsidRPr="00BC48A7">
        <w:rPr>
          <w:rFonts w:ascii="Arial" w:hAnsi="Arial" w:cs="Arial"/>
          <w:szCs w:val="20"/>
        </w:rPr>
        <w:t>, biura, zdrowie, edukacja</w:t>
      </w:r>
    </w:p>
    <w:p w14:paraId="68A2E760" w14:textId="354627C3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C77676">
        <w:rPr>
          <w:rFonts w:ascii="Arial" w:hAnsi="Arial" w:cs="Arial"/>
          <w:szCs w:val="20"/>
        </w:rPr>
        <w:t>: 23/33/</w:t>
      </w:r>
      <w:r w:rsidR="009D6DFA" w:rsidRPr="00BC48A7">
        <w:rPr>
          <w:rFonts w:ascii="Arial" w:hAnsi="Arial" w:cs="Arial"/>
          <w:szCs w:val="20"/>
        </w:rPr>
        <w:t>42</w:t>
      </w:r>
    </w:p>
    <w:p w14:paraId="4C9347A2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9D6DFA" w:rsidRPr="00BC48A7">
        <w:rPr>
          <w:rFonts w:ascii="Arial" w:hAnsi="Arial" w:cs="Arial"/>
          <w:szCs w:val="20"/>
        </w:rPr>
        <w:t xml:space="preserve">: 2,50 mm </w:t>
      </w:r>
    </w:p>
    <w:p w14:paraId="492FF20F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9D6DFA" w:rsidRPr="00BC48A7">
        <w:rPr>
          <w:rFonts w:ascii="Arial" w:hAnsi="Arial" w:cs="Arial"/>
          <w:szCs w:val="20"/>
        </w:rPr>
        <w:t>: 0,55 mm</w:t>
      </w:r>
    </w:p>
    <w:p w14:paraId="4F660BFB" w14:textId="736269CF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D878C7" w:rsidRPr="00BC48A7">
        <w:rPr>
          <w:rFonts w:ascii="Arial" w:hAnsi="Arial" w:cs="Arial"/>
          <w:szCs w:val="20"/>
        </w:rPr>
        <w:t>ozmiar paneli</w:t>
      </w:r>
      <w:r w:rsidR="002D3CF4" w:rsidRPr="00BC48A7">
        <w:rPr>
          <w:rFonts w:ascii="Arial" w:hAnsi="Arial" w:cs="Arial"/>
          <w:szCs w:val="20"/>
        </w:rPr>
        <w:t xml:space="preserve"> EN 427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C77676">
        <w:rPr>
          <w:rFonts w:ascii="Arial" w:hAnsi="Arial" w:cs="Arial"/>
          <w:szCs w:val="20"/>
        </w:rPr>
        <w:t>121.92 x 22, 86 cm</w:t>
      </w:r>
    </w:p>
    <w:p w14:paraId="18E6708E" w14:textId="77777777" w:rsidR="009D6DFA" w:rsidRPr="00BC48A7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5B78BF4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pozostałość wgniecenia</w:t>
      </w:r>
      <w:r w:rsidR="002D3CF4" w:rsidRPr="00BC48A7">
        <w:rPr>
          <w:rFonts w:ascii="Arial" w:hAnsi="Arial" w:cs="Arial"/>
          <w:szCs w:val="20"/>
        </w:rPr>
        <w:t xml:space="preserve"> EN 433 ISO 24343-1</w:t>
      </w:r>
      <w:r w:rsidR="009D6DFA" w:rsidRPr="00BC48A7">
        <w:rPr>
          <w:rFonts w:ascii="Arial" w:hAnsi="Arial" w:cs="Arial"/>
          <w:szCs w:val="20"/>
        </w:rPr>
        <w:t>: ≤ 0,05 mm</w:t>
      </w:r>
    </w:p>
    <w:p w14:paraId="424F7391" w14:textId="218221C9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D6DFA" w:rsidRPr="00BC48A7">
        <w:rPr>
          <w:rFonts w:ascii="Arial" w:hAnsi="Arial" w:cs="Arial"/>
          <w:szCs w:val="20"/>
        </w:rPr>
        <w:t>: ≤ 0.1</w:t>
      </w:r>
      <w:r w:rsidR="00C77676">
        <w:rPr>
          <w:rFonts w:ascii="Arial" w:hAnsi="Arial" w:cs="Arial"/>
          <w:szCs w:val="20"/>
        </w:rPr>
        <w:t>2</w:t>
      </w:r>
      <w:r w:rsidR="009D6DFA" w:rsidRPr="00BC48A7">
        <w:rPr>
          <w:rFonts w:ascii="Arial" w:hAnsi="Arial" w:cs="Arial"/>
          <w:szCs w:val="20"/>
        </w:rPr>
        <w:t xml:space="preserve"> % </w:t>
      </w:r>
    </w:p>
    <w:p w14:paraId="7D115AE9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na światło</w:t>
      </w:r>
      <w:r w:rsidR="002D3CF4" w:rsidRPr="00BC48A7">
        <w:rPr>
          <w:rFonts w:ascii="Arial" w:hAnsi="Arial" w:cs="Arial"/>
          <w:szCs w:val="20"/>
        </w:rPr>
        <w:t xml:space="preserve"> EN ISO 105-B02</w:t>
      </w:r>
      <w:r w:rsidR="009D6DFA" w:rsidRPr="00BC48A7">
        <w:rPr>
          <w:rFonts w:ascii="Arial" w:hAnsi="Arial" w:cs="Arial"/>
          <w:szCs w:val="20"/>
        </w:rPr>
        <w:t>: ≥ 6</w:t>
      </w:r>
    </w:p>
    <w:p w14:paraId="1DD9A9A9" w14:textId="5A8D5151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a</w:t>
      </w:r>
      <w:r w:rsidR="009D6DFA" w:rsidRPr="00BC48A7">
        <w:rPr>
          <w:rFonts w:ascii="Arial" w:hAnsi="Arial" w:cs="Arial"/>
          <w:szCs w:val="20"/>
        </w:rPr>
        <w:t>ntypoślizgowość</w:t>
      </w:r>
      <w:r w:rsidR="002D3CF4" w:rsidRPr="00BC48A7">
        <w:rPr>
          <w:rFonts w:ascii="Arial" w:hAnsi="Arial" w:cs="Arial"/>
          <w:szCs w:val="20"/>
        </w:rPr>
        <w:t xml:space="preserve"> DIN 51130</w:t>
      </w:r>
      <w:r w:rsidR="00C77676">
        <w:rPr>
          <w:rFonts w:ascii="Arial" w:hAnsi="Arial" w:cs="Arial"/>
          <w:szCs w:val="20"/>
        </w:rPr>
        <w:t>: R 9</w:t>
      </w:r>
    </w:p>
    <w:p w14:paraId="424E8C8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łaściwości elektrostatyczne</w:t>
      </w:r>
      <w:r w:rsidR="002D3CF4" w:rsidRPr="00BC48A7">
        <w:rPr>
          <w:rFonts w:ascii="Arial" w:hAnsi="Arial" w:cs="Arial"/>
          <w:szCs w:val="20"/>
        </w:rPr>
        <w:t xml:space="preserve"> EN 1815</w:t>
      </w:r>
      <w:r w:rsidR="009D6DFA" w:rsidRPr="00BC48A7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BC48A7">
        <w:rPr>
          <w:rFonts w:ascii="Arial" w:hAnsi="Arial" w:cs="Arial"/>
          <w:szCs w:val="20"/>
        </w:rPr>
        <w:t>kV</w:t>
      </w:r>
      <w:proofErr w:type="spellEnd"/>
    </w:p>
    <w:p w14:paraId="5A72634C" w14:textId="6D12CC1E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chemiczna</w:t>
      </w:r>
      <w:r w:rsidR="00C77676">
        <w:rPr>
          <w:rFonts w:ascii="Arial" w:hAnsi="Arial" w:cs="Arial"/>
          <w:szCs w:val="20"/>
        </w:rPr>
        <w:t xml:space="preserve"> EN 423: odporna</w:t>
      </w:r>
    </w:p>
    <w:p w14:paraId="71583A4A" w14:textId="3C084C70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2C4C1E">
        <w:rPr>
          <w:rFonts w:ascii="Arial" w:hAnsi="Arial" w:cs="Arial"/>
          <w:szCs w:val="20"/>
        </w:rPr>
        <w:t>p</w:t>
      </w:r>
      <w:r w:rsidR="002C4C1E" w:rsidRPr="002C4C1E">
        <w:rPr>
          <w:rFonts w:ascii="Arial" w:hAnsi="Arial" w:cs="Arial"/>
          <w:szCs w:val="20"/>
        </w:rPr>
        <w:t>rzewodnictwo cieplne EN 12667:2001 0.076 W/(m · K)</w:t>
      </w:r>
    </w:p>
    <w:p w14:paraId="60C1275C" w14:textId="26EFF77D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lasa ścieralności</w:t>
      </w:r>
      <w:r w:rsidR="002C4C1E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Grupa T</w:t>
      </w:r>
    </w:p>
    <w:p w14:paraId="6D0FE5A3" w14:textId="626AD8A0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2C4C1E" w:rsidRPr="002C4C1E">
        <w:rPr>
          <w:rFonts w:ascii="Arial" w:hAnsi="Arial" w:cs="Arial"/>
          <w:szCs w:val="20"/>
        </w:rPr>
        <w:t xml:space="preserve">fotele na kółkach </w:t>
      </w:r>
      <w:r w:rsidR="00270417" w:rsidRPr="002C4C1E">
        <w:rPr>
          <w:rFonts w:ascii="Arial" w:hAnsi="Arial" w:cs="Arial"/>
          <w:szCs w:val="20"/>
        </w:rPr>
        <w:t xml:space="preserve">425/ EN12529 </w:t>
      </w:r>
      <w:r w:rsidR="002C4C1E" w:rsidRPr="002C4C1E">
        <w:rPr>
          <w:rFonts w:ascii="Arial" w:hAnsi="Arial" w:cs="Arial"/>
          <w:szCs w:val="20"/>
        </w:rPr>
        <w:t>EN odporna, typ W</w:t>
      </w:r>
    </w:p>
    <w:p w14:paraId="15E989AA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grzewanie podłogowe</w:t>
      </w:r>
      <w:r w:rsidR="002D3CF4" w:rsidRPr="00BC48A7">
        <w:rPr>
          <w:rFonts w:ascii="Arial" w:hAnsi="Arial" w:cs="Arial"/>
          <w:szCs w:val="20"/>
        </w:rPr>
        <w:t xml:space="preserve"> EN 1264-2</w:t>
      </w:r>
      <w:r w:rsidR="009D6DFA" w:rsidRPr="00BC48A7">
        <w:rPr>
          <w:rFonts w:ascii="Arial" w:hAnsi="Arial" w:cs="Arial"/>
          <w:szCs w:val="20"/>
        </w:rPr>
        <w:t>: zalecana max. temp. 27°C</w:t>
      </w:r>
    </w:p>
    <w:p w14:paraId="3B530484" w14:textId="2C494C16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 xml:space="preserve">warancja producenta: </w:t>
      </w:r>
      <w:r w:rsidR="002C4C1E" w:rsidRPr="002C4C1E">
        <w:rPr>
          <w:rFonts w:ascii="Arial" w:hAnsi="Arial" w:cs="Arial"/>
          <w:szCs w:val="20"/>
        </w:rPr>
        <w:t>mieszkania: 15 lat / przemysł: 10 lat</w:t>
      </w:r>
    </w:p>
    <w:p w14:paraId="28ABF74F" w14:textId="367CA63D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 xml:space="preserve">- </w:t>
      </w:r>
      <w:r w:rsidR="002C4C1E" w:rsidRPr="002C4C1E">
        <w:rPr>
          <w:rFonts w:ascii="Arial" w:hAnsi="Arial" w:cs="Arial"/>
          <w:szCs w:val="20"/>
        </w:rPr>
        <w:t xml:space="preserve">redukcja dźwięku ISO 10140-3 2 </w:t>
      </w:r>
      <w:proofErr w:type="spellStart"/>
      <w:r w:rsidR="002C4C1E" w:rsidRPr="002C4C1E">
        <w:rPr>
          <w:rFonts w:ascii="Arial" w:hAnsi="Arial" w:cs="Arial"/>
          <w:szCs w:val="20"/>
        </w:rPr>
        <w:t>dB</w:t>
      </w:r>
      <w:bookmarkStart w:id="0" w:name="_GoBack"/>
      <w:bookmarkEnd w:id="0"/>
      <w:proofErr w:type="spellEnd"/>
    </w:p>
    <w:p w14:paraId="683B4852" w14:textId="3CA8502C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dpowiedzialność środowiskowa</w:t>
      </w:r>
      <w:r w:rsidR="002C4C1E">
        <w:rPr>
          <w:rFonts w:ascii="Arial" w:hAnsi="Arial" w:cs="Arial"/>
          <w:szCs w:val="20"/>
        </w:rPr>
        <w:t xml:space="preserve"> A + </w:t>
      </w:r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BF8E6" w14:textId="77777777" w:rsidR="001C6656" w:rsidRDefault="001C6656" w:rsidP="00B66D02">
      <w:pPr>
        <w:spacing w:after="0" w:line="240" w:lineRule="auto"/>
      </w:pPr>
      <w:r>
        <w:separator/>
      </w:r>
    </w:p>
  </w:endnote>
  <w:endnote w:type="continuationSeparator" w:id="0">
    <w:p w14:paraId="21225159" w14:textId="77777777" w:rsidR="001C6656" w:rsidRDefault="001C6656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7D06E" w14:textId="77777777" w:rsidR="001C6656" w:rsidRDefault="001C6656" w:rsidP="00B66D02">
      <w:pPr>
        <w:spacing w:after="0" w:line="240" w:lineRule="auto"/>
      </w:pPr>
      <w:r>
        <w:separator/>
      </w:r>
    </w:p>
  </w:footnote>
  <w:footnote w:type="continuationSeparator" w:id="0">
    <w:p w14:paraId="20668010" w14:textId="77777777" w:rsidR="001C6656" w:rsidRDefault="001C6656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01A548EC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694581">
      <w:rPr>
        <w:rFonts w:ascii="Arial" w:hAnsi="Arial" w:cs="Arial"/>
        <w:i/>
        <w:sz w:val="18"/>
        <w:u w:val="single"/>
      </w:rPr>
      <w:t xml:space="preserve"> </w:t>
    </w:r>
    <w:proofErr w:type="spellStart"/>
    <w:r w:rsidR="00694581">
      <w:rPr>
        <w:rFonts w:ascii="Arial" w:hAnsi="Arial" w:cs="Arial"/>
        <w:i/>
        <w:sz w:val="18"/>
        <w:u w:val="single"/>
      </w:rPr>
      <w:t>Highland</w:t>
    </w:r>
    <w:proofErr w:type="spellEnd"/>
    <w:r w:rsidR="00694581">
      <w:rPr>
        <w:rFonts w:ascii="Arial" w:hAnsi="Arial" w:cs="Arial"/>
        <w:i/>
        <w:sz w:val="18"/>
        <w:u w:val="single"/>
      </w:rPr>
      <w:t xml:space="preserve"> </w:t>
    </w:r>
    <w:r w:rsidR="001C4232">
      <w:rPr>
        <w:rFonts w:ascii="Arial" w:hAnsi="Arial" w:cs="Arial"/>
        <w:i/>
        <w:sz w:val="18"/>
        <w:u w:val="single"/>
      </w:rPr>
      <w:t>– płytka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923E8"/>
    <w:rsid w:val="000A42C5"/>
    <w:rsid w:val="001423FC"/>
    <w:rsid w:val="001A5B82"/>
    <w:rsid w:val="001C4232"/>
    <w:rsid w:val="001C6656"/>
    <w:rsid w:val="00200CA7"/>
    <w:rsid w:val="00270417"/>
    <w:rsid w:val="0027674F"/>
    <w:rsid w:val="002C4C1E"/>
    <w:rsid w:val="002D3CF4"/>
    <w:rsid w:val="002E3477"/>
    <w:rsid w:val="003225ED"/>
    <w:rsid w:val="003279D1"/>
    <w:rsid w:val="003C2B64"/>
    <w:rsid w:val="003C7F9B"/>
    <w:rsid w:val="00444D17"/>
    <w:rsid w:val="004508B7"/>
    <w:rsid w:val="004F773A"/>
    <w:rsid w:val="005064EE"/>
    <w:rsid w:val="00526BDE"/>
    <w:rsid w:val="005D06C6"/>
    <w:rsid w:val="005E6D6D"/>
    <w:rsid w:val="00632C52"/>
    <w:rsid w:val="00694581"/>
    <w:rsid w:val="006C2917"/>
    <w:rsid w:val="006F150B"/>
    <w:rsid w:val="0073615E"/>
    <w:rsid w:val="0075661E"/>
    <w:rsid w:val="00837206"/>
    <w:rsid w:val="008A0F6E"/>
    <w:rsid w:val="008D660F"/>
    <w:rsid w:val="008E1489"/>
    <w:rsid w:val="008F75BE"/>
    <w:rsid w:val="00933843"/>
    <w:rsid w:val="009632D5"/>
    <w:rsid w:val="0097297A"/>
    <w:rsid w:val="009D5A83"/>
    <w:rsid w:val="009D6DFA"/>
    <w:rsid w:val="00A17F3C"/>
    <w:rsid w:val="00A345A6"/>
    <w:rsid w:val="00A8091C"/>
    <w:rsid w:val="00A900D9"/>
    <w:rsid w:val="00A91C63"/>
    <w:rsid w:val="00AA40D4"/>
    <w:rsid w:val="00B0376D"/>
    <w:rsid w:val="00B66D02"/>
    <w:rsid w:val="00B91A52"/>
    <w:rsid w:val="00BC48A7"/>
    <w:rsid w:val="00C77676"/>
    <w:rsid w:val="00C81C95"/>
    <w:rsid w:val="00CE2073"/>
    <w:rsid w:val="00D11FF6"/>
    <w:rsid w:val="00D4471B"/>
    <w:rsid w:val="00D878C7"/>
    <w:rsid w:val="00DD21E6"/>
    <w:rsid w:val="00DD67CA"/>
    <w:rsid w:val="00E56C09"/>
    <w:rsid w:val="00EE4B55"/>
    <w:rsid w:val="00F71F6A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2025-07-09T07:44:00Z</dcterms:created>
  <dcterms:modified xsi:type="dcterms:W3CDTF">2025-07-09T08:51:00Z</dcterms:modified>
</cp:coreProperties>
</file>