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74064AC8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6F215C">
        <w:rPr>
          <w:rFonts w:ascii="Arial" w:hAnsi="Arial" w:cs="Arial"/>
          <w:i/>
          <w:sz w:val="20"/>
          <w:szCs w:val="20"/>
        </w:rPr>
        <w:t xml:space="preserve">Shaw </w:t>
      </w:r>
      <w:proofErr w:type="spellStart"/>
      <w:r w:rsidR="009D50F0">
        <w:rPr>
          <w:rFonts w:ascii="Arial" w:hAnsi="Arial" w:cs="Arial"/>
          <w:i/>
          <w:sz w:val="20"/>
          <w:szCs w:val="20"/>
        </w:rPr>
        <w:t>Understated</w:t>
      </w:r>
      <w:proofErr w:type="spellEnd"/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7C07682C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proofErr w:type="spellStart"/>
      <w:r w:rsidR="001C6539">
        <w:rPr>
          <w:rFonts w:ascii="Arial" w:hAnsi="Arial" w:cs="Arial"/>
          <w:sz w:val="20"/>
          <w:szCs w:val="20"/>
        </w:rPr>
        <w:t>Ecoworx</w:t>
      </w:r>
      <w:r w:rsidR="009B7156" w:rsidRPr="009B7156">
        <w:rPr>
          <w:rFonts w:ascii="Arial" w:hAnsi="Arial" w:cs="Arial"/>
          <w:sz w:val="20"/>
          <w:szCs w:val="20"/>
        </w:rPr>
        <w:t>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 xml:space="preserve">®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6DEC4136" w:rsidR="00E7669A" w:rsidRDefault="000D64E1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0D64E1">
        <w:t>taft</w:t>
      </w:r>
      <w:r w:rsidR="00E7669A" w:rsidRPr="006701CD">
        <w:t xml:space="preserve"> </w:t>
      </w:r>
      <w:r w:rsidR="00E7669A">
        <w:t>– pojedynczy zestaw włókien widoczny w wykładzinie, tzw. pętelka</w:t>
      </w:r>
    </w:p>
    <w:p w14:paraId="6772453F" w14:textId="66B3CF8D" w:rsidR="00E7669A" w:rsidRDefault="00E7669A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0D64E1">
        <w:t xml:space="preserve">zespół </w:t>
      </w:r>
      <w:r w:rsidR="000D64E1" w:rsidRPr="000D64E1">
        <w:t>taft</w:t>
      </w:r>
      <w:r>
        <w:t>ów</w:t>
      </w:r>
    </w:p>
    <w:p w14:paraId="25D77E0B" w14:textId="25444CE4" w:rsidR="00E7669A" w:rsidRDefault="000D64E1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gęstość wykładziny – ilość </w:t>
      </w:r>
      <w:r w:rsidRPr="000D64E1">
        <w:t>taft</w:t>
      </w:r>
      <w:r w:rsidR="00E7669A">
        <w:t>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0DF2633B" w:rsidR="00E7669A" w:rsidRDefault="000D64E1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wykładzina </w:t>
      </w:r>
      <w:r w:rsidRPr="000D64E1">
        <w:t>taft</w:t>
      </w:r>
      <w:r w:rsidR="00E7669A">
        <w:t>owa – wykładzina, która powstaje przez pikowanie naturalnej lub sztucznej przędzy w podłoże pierwotne, które następnie jest sklejane z podłożem wtórnym,</w:t>
      </w:r>
    </w:p>
    <w:p w14:paraId="0BE0D31A" w14:textId="5F5B8DDE" w:rsidR="00E7669A" w:rsidRDefault="00E7669A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0D64E1">
        <w:t xml:space="preserve">wykładzina </w:t>
      </w:r>
      <w:r w:rsidR="000D64E1" w:rsidRPr="000D64E1">
        <w:t>taft</w:t>
      </w:r>
      <w:r>
        <w:t>owa z rozciętym</w:t>
      </w:r>
      <w:r w:rsidR="000D64E1">
        <w:t>i i wyrównanymi (strzyżonymi) ta</w:t>
      </w:r>
      <w:r>
        <w:t>ftami,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 xml:space="preserve">wykładzina przygotowana w jednakowej wielkości modułach, ze specjalnym wzmocnionym podłożem. W przypadku układania wykładziny w płytkach powstaje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0869D07A" w14:textId="4BF05C75" w:rsidR="00AD0857" w:rsidRPr="00AD0857" w:rsidRDefault="0089465D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1C6539">
        <w:t xml:space="preserve"> </w:t>
      </w:r>
      <w:proofErr w:type="spellStart"/>
      <w:r w:rsidR="001C6539">
        <w:t>Eco</w:t>
      </w:r>
      <w:r w:rsidR="00952E87">
        <w:t>worxS</w:t>
      </w:r>
      <w:proofErr w:type="spellEnd"/>
      <w:r w:rsidR="000D408E">
        <w:t xml:space="preserve">® - </w:t>
      </w:r>
      <w:r w:rsidR="000D408E" w:rsidRPr="00AD0857">
        <w:rPr>
          <w:rFonts w:ascii="Tahoma" w:hAnsi="Tahoma" w:cs="Tahoma"/>
        </w:rPr>
        <w:t xml:space="preserve">podłoże ekologiczne, </w:t>
      </w:r>
      <w:r w:rsidR="00AD0857" w:rsidRPr="00AD0857">
        <w:rPr>
          <w:rFonts w:ascii="Tahoma" w:hAnsi="Tahoma" w:cs="Tahoma"/>
        </w:rPr>
        <w:t xml:space="preserve">bitum modyfikowany polimerami </w:t>
      </w:r>
    </w:p>
    <w:p w14:paraId="5AF47872" w14:textId="5E6F8E91" w:rsidR="00E7669A" w:rsidRDefault="00E7669A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584D52D9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2.1.1. Nazwa produktu płytka dywanowa</w:t>
      </w:r>
    </w:p>
    <w:p w14:paraId="297037BC" w14:textId="61C21D05" w:rsidR="00AD0857" w:rsidRPr="00AD0857" w:rsidRDefault="001C6539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2.1.2. Kolekcja </w:t>
      </w:r>
      <w:r w:rsidRPr="001C6539">
        <w:rPr>
          <w:rFonts w:ascii="Arial" w:hAnsi="Arial" w:cs="Arial"/>
          <w:sz w:val="20"/>
          <w:szCs w:val="20"/>
        </w:rPr>
        <w:t xml:space="preserve">Creative </w:t>
      </w:r>
      <w:proofErr w:type="spellStart"/>
      <w:r w:rsidRPr="001C6539">
        <w:rPr>
          <w:rFonts w:ascii="Arial" w:hAnsi="Arial" w:cs="Arial"/>
          <w:sz w:val="20"/>
          <w:szCs w:val="20"/>
        </w:rPr>
        <w:t>Connections</w:t>
      </w:r>
      <w:proofErr w:type="spellEnd"/>
    </w:p>
    <w:p w14:paraId="5116E629" w14:textId="2B832982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2.1.3. Numer katalogowy </w:t>
      </w:r>
      <w:r w:rsidR="001C6539" w:rsidRPr="001C6539">
        <w:rPr>
          <w:rFonts w:ascii="Arial" w:hAnsi="Arial" w:cs="Arial"/>
          <w:sz w:val="20"/>
          <w:szCs w:val="20"/>
        </w:rPr>
        <w:t>5T646</w:t>
      </w:r>
    </w:p>
    <w:p w14:paraId="76889BF1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2.1.4. Konstrukcja ISO 2424 pętelkowa stopniowana</w:t>
      </w:r>
    </w:p>
    <w:p w14:paraId="71D35FB6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2.1.5. Rodzaj włókna </w:t>
      </w:r>
      <w:proofErr w:type="spellStart"/>
      <w:r w:rsidRPr="00AD0857">
        <w:rPr>
          <w:rFonts w:ascii="Arial" w:hAnsi="Arial" w:cs="Arial"/>
          <w:sz w:val="20"/>
          <w:szCs w:val="20"/>
        </w:rPr>
        <w:t>eco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857">
        <w:rPr>
          <w:rFonts w:ascii="Arial" w:hAnsi="Arial" w:cs="Arial"/>
          <w:sz w:val="20"/>
          <w:szCs w:val="20"/>
        </w:rPr>
        <w:t>solution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Q poliamid 6</w:t>
      </w:r>
    </w:p>
    <w:p w14:paraId="550BD05D" w14:textId="4E5FB95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2.1.6. Waga w</w:t>
      </w:r>
      <w:r w:rsidR="009D50F0">
        <w:rPr>
          <w:rFonts w:ascii="Arial" w:hAnsi="Arial" w:cs="Arial"/>
          <w:sz w:val="20"/>
          <w:szCs w:val="20"/>
        </w:rPr>
        <w:t>łókna ISO 2424 762</w:t>
      </w:r>
      <w:r w:rsidRPr="00AD0857">
        <w:rPr>
          <w:rFonts w:ascii="Arial" w:hAnsi="Arial" w:cs="Arial"/>
          <w:sz w:val="20"/>
          <w:szCs w:val="20"/>
        </w:rPr>
        <w:t xml:space="preserve"> g/m2</w:t>
      </w:r>
    </w:p>
    <w:p w14:paraId="41455461" w14:textId="08506F71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lastRenderedPageBreak/>
        <w:t>2.1.7. Efektywna waga</w:t>
      </w:r>
      <w:r w:rsidR="009D50F0">
        <w:rPr>
          <w:rFonts w:ascii="Arial" w:hAnsi="Arial" w:cs="Arial"/>
          <w:sz w:val="20"/>
          <w:szCs w:val="20"/>
        </w:rPr>
        <w:t xml:space="preserve"> runa ISO 8543 291</w:t>
      </w:r>
      <w:r w:rsidRPr="00AD0857">
        <w:rPr>
          <w:rFonts w:ascii="Arial" w:hAnsi="Arial" w:cs="Arial"/>
          <w:sz w:val="20"/>
          <w:szCs w:val="20"/>
        </w:rPr>
        <w:t xml:space="preserve"> g/m2</w:t>
      </w:r>
    </w:p>
    <w:p w14:paraId="1BC2E9DA" w14:textId="0BB60B56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2.1.8. Waga całkowi</w:t>
      </w:r>
      <w:r w:rsidR="00B0687A">
        <w:rPr>
          <w:rFonts w:ascii="Arial" w:hAnsi="Arial" w:cs="Arial"/>
          <w:sz w:val="20"/>
          <w:szCs w:val="20"/>
        </w:rPr>
        <w:t>ta ISO 8543 2984</w:t>
      </w:r>
      <w:r w:rsidRPr="00AD0857">
        <w:rPr>
          <w:rFonts w:ascii="Arial" w:hAnsi="Arial" w:cs="Arial"/>
          <w:sz w:val="20"/>
          <w:szCs w:val="20"/>
        </w:rPr>
        <w:t xml:space="preserve"> g/m2</w:t>
      </w:r>
    </w:p>
    <w:p w14:paraId="1F921728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2.1.9. Gęstość pikowania ISO 2424 1/10</w:t>
      </w:r>
    </w:p>
    <w:p w14:paraId="428F0D88" w14:textId="0E6C1282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2.1.10. Gęstość </w:t>
      </w:r>
      <w:proofErr w:type="spellStart"/>
      <w:r w:rsidRPr="00AD0857">
        <w:rPr>
          <w:rFonts w:ascii="Arial" w:hAnsi="Arial" w:cs="Arial"/>
          <w:sz w:val="20"/>
          <w:szCs w:val="20"/>
        </w:rPr>
        <w:t>taftowania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IS</w:t>
      </w:r>
      <w:r w:rsidR="00B0687A">
        <w:rPr>
          <w:rFonts w:ascii="Arial" w:hAnsi="Arial" w:cs="Arial"/>
          <w:sz w:val="20"/>
          <w:szCs w:val="20"/>
        </w:rPr>
        <w:t>O 1763 124</w:t>
      </w:r>
      <w:r w:rsidRPr="00AD0857">
        <w:rPr>
          <w:rFonts w:ascii="Arial" w:hAnsi="Arial" w:cs="Arial"/>
          <w:sz w:val="20"/>
          <w:szCs w:val="20"/>
        </w:rPr>
        <w:t>'000 taftów/m2</w:t>
      </w:r>
    </w:p>
    <w:p w14:paraId="0506F67F" w14:textId="47F2F600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2.1.11. </w:t>
      </w:r>
      <w:r w:rsidR="001C6539">
        <w:rPr>
          <w:rFonts w:ascii="Arial" w:hAnsi="Arial" w:cs="Arial"/>
          <w:sz w:val="20"/>
          <w:szCs w:val="20"/>
        </w:rPr>
        <w:t>Efektywna g</w:t>
      </w:r>
      <w:r w:rsidRPr="00AD0857">
        <w:rPr>
          <w:rFonts w:ascii="Arial" w:hAnsi="Arial" w:cs="Arial"/>
          <w:sz w:val="20"/>
          <w:szCs w:val="20"/>
        </w:rPr>
        <w:t>rubość</w:t>
      </w:r>
      <w:r w:rsidR="00B0687A">
        <w:rPr>
          <w:rFonts w:ascii="Arial" w:hAnsi="Arial" w:cs="Arial"/>
          <w:sz w:val="20"/>
          <w:szCs w:val="20"/>
        </w:rPr>
        <w:t xml:space="preserve"> runa ISO 1766 2,3</w:t>
      </w:r>
      <w:r w:rsidRPr="00AD0857">
        <w:rPr>
          <w:rFonts w:ascii="Arial" w:hAnsi="Arial" w:cs="Arial"/>
          <w:sz w:val="20"/>
          <w:szCs w:val="20"/>
        </w:rPr>
        <w:t xml:space="preserve"> mm</w:t>
      </w:r>
    </w:p>
    <w:p w14:paraId="772B22AD" w14:textId="3F3B1B98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2.1.12. Grubość całk</w:t>
      </w:r>
      <w:r w:rsidR="00B0687A">
        <w:rPr>
          <w:rFonts w:ascii="Arial" w:hAnsi="Arial" w:cs="Arial"/>
          <w:sz w:val="20"/>
          <w:szCs w:val="20"/>
        </w:rPr>
        <w:t>owita ISO 1765 7,0</w:t>
      </w:r>
      <w:r w:rsidRPr="00AD0857">
        <w:rPr>
          <w:rFonts w:ascii="Arial" w:hAnsi="Arial" w:cs="Arial"/>
          <w:sz w:val="20"/>
          <w:szCs w:val="20"/>
        </w:rPr>
        <w:t xml:space="preserve"> mm</w:t>
      </w:r>
    </w:p>
    <w:p w14:paraId="4CDE3E0F" w14:textId="170CCF5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</w:t>
      </w:r>
      <w:r w:rsidR="001C6539">
        <w:rPr>
          <w:rFonts w:ascii="Arial" w:hAnsi="Arial" w:cs="Arial"/>
          <w:sz w:val="20"/>
          <w:szCs w:val="20"/>
        </w:rPr>
        <w:t>.1.13. Rozmiar produktu panel 50 x 50</w:t>
      </w:r>
      <w:r w:rsidRPr="00AD0857">
        <w:rPr>
          <w:rFonts w:ascii="Arial" w:hAnsi="Arial" w:cs="Arial"/>
          <w:sz w:val="20"/>
          <w:szCs w:val="20"/>
        </w:rPr>
        <w:t xml:space="preserve"> cm ( 20 szt. W pudełku – 5 m2 )</w:t>
      </w:r>
    </w:p>
    <w:p w14:paraId="04FF9EFE" w14:textId="30518932" w:rsidR="00AD0857" w:rsidRPr="00AD0857" w:rsidRDefault="00B0687A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2.1.14. Ilość kolorów 12</w:t>
      </w:r>
      <w:bookmarkStart w:id="0" w:name="_GoBack"/>
      <w:bookmarkEnd w:id="0"/>
    </w:p>
    <w:p w14:paraId="5D832C12" w14:textId="01257BB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2.1.15. Podkład </w:t>
      </w:r>
      <w:proofErr w:type="spellStart"/>
      <w:r w:rsidR="00EF787C" w:rsidRPr="00EF787C">
        <w:rPr>
          <w:rFonts w:ascii="Arial" w:hAnsi="Arial" w:cs="Arial"/>
          <w:sz w:val="20"/>
          <w:szCs w:val="20"/>
        </w:rPr>
        <w:t>Ecoworx</w:t>
      </w:r>
      <w:proofErr w:type="spellEnd"/>
      <w:r w:rsidR="00EF787C" w:rsidRPr="00EF787C">
        <w:rPr>
          <w:rFonts w:ascii="Arial" w:hAnsi="Arial" w:cs="Arial"/>
          <w:sz w:val="20"/>
          <w:szCs w:val="20"/>
        </w:rPr>
        <w:t xml:space="preserve"> S® </w:t>
      </w:r>
      <w:proofErr w:type="spellStart"/>
      <w:r w:rsidR="00EF787C" w:rsidRPr="00EF787C">
        <w:rPr>
          <w:rFonts w:ascii="Arial" w:hAnsi="Arial" w:cs="Arial"/>
          <w:sz w:val="20"/>
          <w:szCs w:val="20"/>
        </w:rPr>
        <w:t>Polyolefin</w:t>
      </w:r>
      <w:proofErr w:type="spellEnd"/>
      <w:r w:rsidR="00EF787C" w:rsidRPr="00EF787C">
        <w:rPr>
          <w:rFonts w:ascii="Arial" w:hAnsi="Arial" w:cs="Arial"/>
          <w:sz w:val="20"/>
          <w:szCs w:val="20"/>
        </w:rPr>
        <w:t xml:space="preserve"> Plastomer (bez bitumu, bez PVC)</w:t>
      </w:r>
    </w:p>
    <w:p w14:paraId="0C3E986B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2.1.16. Klasyfikacja zastosowania EN 1307 33 Heavy </w:t>
      </w:r>
      <w:proofErr w:type="spellStart"/>
      <w:r w:rsidRPr="00AD0857">
        <w:rPr>
          <w:rFonts w:ascii="Arial" w:hAnsi="Arial" w:cs="Arial"/>
          <w:sz w:val="20"/>
          <w:szCs w:val="20"/>
        </w:rPr>
        <w:t>Contract</w:t>
      </w:r>
      <w:proofErr w:type="spellEnd"/>
    </w:p>
    <w:p w14:paraId="5869E73C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2.1.17. Klasa komfortu EN 1307 LC1</w:t>
      </w:r>
    </w:p>
    <w:p w14:paraId="71D8C2A2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2.1.18. Odporność na płowienie ISO 105-B02 &gt; 6</w:t>
      </w:r>
    </w:p>
    <w:p w14:paraId="23AFB8E4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2.1.19. Stabilność wymiarów EN 986 ≤ 0.2%</w:t>
      </w:r>
    </w:p>
    <w:p w14:paraId="2754B602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2.1.20. Odporność termiczna  ISO 8302 0,086m2K/W TOG 0,86</w:t>
      </w:r>
    </w:p>
    <w:p w14:paraId="77D72086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2.1.21. Palność EN 13501-1 Bfl-S1</w:t>
      </w:r>
    </w:p>
    <w:p w14:paraId="13079E8E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2.1.22. Pochłanianie dźwięków uderzenia ISO 10140 26 </w:t>
      </w:r>
      <w:proofErr w:type="spellStart"/>
      <w:r w:rsidRPr="00AD0857">
        <w:rPr>
          <w:rFonts w:ascii="Arial" w:hAnsi="Arial" w:cs="Arial"/>
          <w:sz w:val="20"/>
          <w:szCs w:val="20"/>
        </w:rPr>
        <w:t>dB</w:t>
      </w:r>
      <w:proofErr w:type="spellEnd"/>
    </w:p>
    <w:p w14:paraId="265A7A64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2.1.23. Pochłanianie dźwięku ISO 354/11654 0.20 αW | klasa E</w:t>
      </w:r>
    </w:p>
    <w:p w14:paraId="781608C5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2.1.24. Ładunki elektrostatyczne ISO 6356 ≤ 2.0 </w:t>
      </w:r>
      <w:proofErr w:type="spellStart"/>
      <w:r w:rsidRPr="00AD0857">
        <w:rPr>
          <w:rFonts w:ascii="Arial" w:hAnsi="Arial" w:cs="Arial"/>
          <w:sz w:val="20"/>
          <w:szCs w:val="20"/>
        </w:rPr>
        <w:t>kV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zalecane do pomieszczeń komputerowych</w:t>
      </w:r>
    </w:p>
    <w:p w14:paraId="005B617C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2.1.25. Antypoślizgowość ISO 13893 odpowiednia</w:t>
      </w:r>
    </w:p>
    <w:p w14:paraId="4CB78586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2.1.26. Fotele na kółkach EN 985 ≥ 2.4 | bardzo odporna</w:t>
      </w:r>
    </w:p>
    <w:p w14:paraId="4902165F" w14:textId="32336DAA" w:rsidR="00773B42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2.1.27. Gwarancja producenta 10 lat</w:t>
      </w:r>
    </w:p>
    <w:p w14:paraId="28C6CDE9" w14:textId="702113F9" w:rsidR="00D41A0B" w:rsidRPr="00B02CD4" w:rsidRDefault="00D41A0B" w:rsidP="00773B4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9B827BA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575B61">
        <w:rPr>
          <w:rFonts w:ascii="Arial" w:hAnsi="Arial" w:cs="Arial"/>
          <w:color w:val="000000"/>
          <w:sz w:val="20"/>
          <w:szCs w:val="20"/>
          <w:lang w:val="en-US"/>
        </w:rPr>
        <w:t>Silver</w:t>
      </w:r>
    </w:p>
    <w:p w14:paraId="76720250" w14:textId="12DBD4AE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r w:rsidR="000A5D68" w:rsidRPr="00514510">
        <w:rPr>
          <w:rFonts w:ascii="Arial" w:hAnsi="Arial" w:cs="Arial"/>
          <w:color w:val="000000"/>
          <w:sz w:val="20"/>
          <w:szCs w:val="20"/>
          <w:lang w:val="en-US"/>
        </w:rPr>
        <w:t>Indoor Air Comfort Gold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2.2.4. We Want 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spellEnd"/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565E6799" w14:textId="77777777" w:rsidR="000D64E1" w:rsidRDefault="000D64E1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2FF563A6" w14:textId="77777777" w:rsidR="00773B42" w:rsidRPr="00BD54A0" w:rsidRDefault="00773B42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lastRenderedPageBreak/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lastRenderedPageBreak/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5D68">
        <w:rPr>
          <w:rFonts w:ascii="Arial" w:hAnsi="Arial" w:cs="Arial"/>
          <w:color w:val="000000"/>
          <w:sz w:val="20"/>
          <w:szCs w:val="20"/>
        </w:rPr>
        <w:t>Contract</w:t>
      </w:r>
      <w:proofErr w:type="spellEnd"/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2C6D" w14:textId="77777777" w:rsidR="00214557" w:rsidRDefault="00214557">
      <w:r>
        <w:separator/>
      </w:r>
    </w:p>
  </w:endnote>
  <w:endnote w:type="continuationSeparator" w:id="0">
    <w:p w14:paraId="1053BACD" w14:textId="77777777" w:rsidR="00214557" w:rsidRDefault="0021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B0687A">
      <w:rPr>
        <w:rStyle w:val="Numerstrony"/>
        <w:rFonts w:ascii="Arial" w:hAnsi="Arial" w:cs="Arial"/>
        <w:noProof/>
        <w:sz w:val="18"/>
        <w:szCs w:val="18"/>
      </w:rPr>
      <w:t>4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AB632" w14:textId="77777777" w:rsidR="00214557" w:rsidRDefault="00214557">
      <w:r>
        <w:separator/>
      </w:r>
    </w:p>
  </w:footnote>
  <w:footnote w:type="continuationSeparator" w:id="0">
    <w:p w14:paraId="1F997088" w14:textId="77777777" w:rsidR="00214557" w:rsidRDefault="0021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04862809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9D50F0">
      <w:rPr>
        <w:rFonts w:ascii="Arial" w:hAnsi="Arial" w:cs="Arial"/>
        <w:i/>
        <w:sz w:val="22"/>
        <w:szCs w:val="22"/>
        <w:u w:val="single"/>
      </w:rPr>
      <w:t xml:space="preserve">Shaw </w:t>
    </w:r>
    <w:proofErr w:type="spellStart"/>
    <w:r w:rsidR="009D50F0">
      <w:rPr>
        <w:rFonts w:ascii="Arial" w:hAnsi="Arial" w:cs="Arial"/>
        <w:i/>
        <w:sz w:val="22"/>
        <w:szCs w:val="22"/>
        <w:u w:val="single"/>
      </w:rPr>
      <w:t>Understated</w:t>
    </w:r>
    <w:proofErr w:type="spellEnd"/>
    <w:r w:rsidR="00833996">
      <w:rPr>
        <w:rFonts w:ascii="Arial" w:hAnsi="Arial" w:cs="Arial"/>
        <w:i/>
        <w:sz w:val="22"/>
        <w:szCs w:val="22"/>
        <w:u w:val="single"/>
      </w:rPr>
      <w:t xml:space="preserve"> 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A5D68"/>
    <w:rsid w:val="000D408E"/>
    <w:rsid w:val="000D64E1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C6539"/>
    <w:rsid w:val="001F21C7"/>
    <w:rsid w:val="00214557"/>
    <w:rsid w:val="002571DF"/>
    <w:rsid w:val="002628E8"/>
    <w:rsid w:val="002775EC"/>
    <w:rsid w:val="002A319D"/>
    <w:rsid w:val="00302D10"/>
    <w:rsid w:val="003078E4"/>
    <w:rsid w:val="00343244"/>
    <w:rsid w:val="00360CA4"/>
    <w:rsid w:val="00366AD4"/>
    <w:rsid w:val="003B710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1E16"/>
    <w:rsid w:val="005428D6"/>
    <w:rsid w:val="00565790"/>
    <w:rsid w:val="00575B61"/>
    <w:rsid w:val="00592F68"/>
    <w:rsid w:val="005B2E39"/>
    <w:rsid w:val="005C0720"/>
    <w:rsid w:val="005D6F5B"/>
    <w:rsid w:val="005F1348"/>
    <w:rsid w:val="0062355E"/>
    <w:rsid w:val="00627BD8"/>
    <w:rsid w:val="00635453"/>
    <w:rsid w:val="006374BB"/>
    <w:rsid w:val="00650685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0BA5"/>
    <w:rsid w:val="007229C2"/>
    <w:rsid w:val="00734031"/>
    <w:rsid w:val="007505A1"/>
    <w:rsid w:val="0075397D"/>
    <w:rsid w:val="0076295B"/>
    <w:rsid w:val="00773B42"/>
    <w:rsid w:val="0079566F"/>
    <w:rsid w:val="007A4CE4"/>
    <w:rsid w:val="007A70AC"/>
    <w:rsid w:val="007B18E3"/>
    <w:rsid w:val="007B4B8E"/>
    <w:rsid w:val="007D4EE9"/>
    <w:rsid w:val="008118D2"/>
    <w:rsid w:val="00833996"/>
    <w:rsid w:val="00843A23"/>
    <w:rsid w:val="00844E1D"/>
    <w:rsid w:val="0089465D"/>
    <w:rsid w:val="008B7545"/>
    <w:rsid w:val="008C22E7"/>
    <w:rsid w:val="008C5D6E"/>
    <w:rsid w:val="008C6878"/>
    <w:rsid w:val="008E09B7"/>
    <w:rsid w:val="00913FDC"/>
    <w:rsid w:val="00914409"/>
    <w:rsid w:val="00915CFA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4C18"/>
    <w:rsid w:val="009B7156"/>
    <w:rsid w:val="009B7648"/>
    <w:rsid w:val="009C6DE2"/>
    <w:rsid w:val="009C7C93"/>
    <w:rsid w:val="009D50F0"/>
    <w:rsid w:val="00A21499"/>
    <w:rsid w:val="00A32CC4"/>
    <w:rsid w:val="00A70CF1"/>
    <w:rsid w:val="00A74D51"/>
    <w:rsid w:val="00A90584"/>
    <w:rsid w:val="00A90BA3"/>
    <w:rsid w:val="00AA07D0"/>
    <w:rsid w:val="00AA4FD8"/>
    <w:rsid w:val="00AC159F"/>
    <w:rsid w:val="00AD0857"/>
    <w:rsid w:val="00B02CD4"/>
    <w:rsid w:val="00B0687A"/>
    <w:rsid w:val="00B14956"/>
    <w:rsid w:val="00B1529A"/>
    <w:rsid w:val="00B15DC1"/>
    <w:rsid w:val="00B567A4"/>
    <w:rsid w:val="00B62C75"/>
    <w:rsid w:val="00B9066B"/>
    <w:rsid w:val="00B93776"/>
    <w:rsid w:val="00BC59B0"/>
    <w:rsid w:val="00BD04E7"/>
    <w:rsid w:val="00BD0AE7"/>
    <w:rsid w:val="00BD54A0"/>
    <w:rsid w:val="00BD7BE0"/>
    <w:rsid w:val="00C35113"/>
    <w:rsid w:val="00C70981"/>
    <w:rsid w:val="00CA3082"/>
    <w:rsid w:val="00CD4348"/>
    <w:rsid w:val="00CD6A87"/>
    <w:rsid w:val="00CE01D9"/>
    <w:rsid w:val="00CE6290"/>
    <w:rsid w:val="00D01916"/>
    <w:rsid w:val="00D2318D"/>
    <w:rsid w:val="00D27353"/>
    <w:rsid w:val="00D31366"/>
    <w:rsid w:val="00D41A0B"/>
    <w:rsid w:val="00D60300"/>
    <w:rsid w:val="00D62A7E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F3079"/>
    <w:rsid w:val="00EF787C"/>
    <w:rsid w:val="00F15100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11347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3</cp:revision>
  <cp:lastPrinted>2011-03-30T10:16:00Z</cp:lastPrinted>
  <dcterms:created xsi:type="dcterms:W3CDTF">2025-09-05T07:06:00Z</dcterms:created>
  <dcterms:modified xsi:type="dcterms:W3CDTF">2025-09-05T07:08:00Z</dcterms:modified>
</cp:coreProperties>
</file>